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4786"/>
        <w:gridCol w:w="5670"/>
      </w:tblGrid>
      <w:tr w:rsidR="002260F6" w:rsidTr="00AD0C9D">
        <w:tc>
          <w:tcPr>
            <w:tcW w:w="4786" w:type="dxa"/>
            <w:shd w:val="clear" w:color="auto" w:fill="auto"/>
          </w:tcPr>
          <w:p w:rsidR="002260F6" w:rsidRPr="001E7F46" w:rsidRDefault="00AD0C9D" w:rsidP="00A44D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UBND TP. HỒ CHÍ MINH</w:t>
            </w:r>
          </w:p>
        </w:tc>
        <w:tc>
          <w:tcPr>
            <w:tcW w:w="5670" w:type="dxa"/>
            <w:shd w:val="clear" w:color="auto" w:fill="auto"/>
          </w:tcPr>
          <w:p w:rsidR="002260F6" w:rsidRPr="00E85F95" w:rsidRDefault="002260F6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AD0C9D" w:rsidTr="00AD0C9D">
        <w:tc>
          <w:tcPr>
            <w:tcW w:w="4786" w:type="dxa"/>
            <w:shd w:val="clear" w:color="auto" w:fill="auto"/>
          </w:tcPr>
          <w:p w:rsidR="00AD0C9D" w:rsidRPr="00AD0C9D" w:rsidRDefault="00AD0C9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D0C9D">
              <w:rPr>
                <w:rFonts w:eastAsia="Times New Roman"/>
                <w:b/>
                <w:sz w:val="26"/>
                <w:szCs w:val="26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AD0C9D" w:rsidRPr="00E85F95" w:rsidRDefault="00AD0C9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AD0C9D" w:rsidTr="00AD0C9D">
        <w:tc>
          <w:tcPr>
            <w:tcW w:w="4786" w:type="dxa"/>
            <w:shd w:val="clear" w:color="auto" w:fill="auto"/>
          </w:tcPr>
          <w:p w:rsidR="00AD0C9D" w:rsidRPr="00AD0C9D" w:rsidRDefault="00AD0C9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D0C9D">
              <w:rPr>
                <w:rFonts w:eastAsia="Times New Roman"/>
                <w:b/>
                <w:sz w:val="26"/>
                <w:szCs w:val="26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AD0C9D" w:rsidRPr="00E85F95" w:rsidRDefault="00AD0C9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6560A8" wp14:editId="153A07B1">
                      <wp:simplePos x="0" y="0"/>
                      <wp:positionH relativeFrom="column">
                        <wp:posOffset>804918</wp:posOffset>
                      </wp:positionH>
                      <wp:positionV relativeFrom="paragraph">
                        <wp:posOffset>43703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3.45pt" to="223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" strokecolor="black [3040]"/>
                  </w:pict>
                </mc:Fallback>
              </mc:AlternateContent>
            </w:r>
          </w:p>
        </w:tc>
      </w:tr>
      <w:tr w:rsidR="00AD0C9D" w:rsidTr="00AD0C9D">
        <w:tc>
          <w:tcPr>
            <w:tcW w:w="4786" w:type="dxa"/>
            <w:shd w:val="clear" w:color="auto" w:fill="auto"/>
          </w:tcPr>
          <w:p w:rsidR="00AD0C9D" w:rsidRPr="00E85F95" w:rsidRDefault="00AD0C9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45D209" wp14:editId="0797A114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AD0C9D" w:rsidRPr="00E85F95" w:rsidRDefault="00AD0C9D" w:rsidP="004564C7">
            <w:pPr>
              <w:jc w:val="center"/>
              <w:rPr>
                <w:rFonts w:eastAsia="Times New Roman"/>
              </w:rPr>
            </w:pPr>
          </w:p>
        </w:tc>
      </w:tr>
      <w:tr w:rsidR="00AD0C9D" w:rsidTr="00AD0C9D">
        <w:tc>
          <w:tcPr>
            <w:tcW w:w="4786" w:type="dxa"/>
            <w:shd w:val="clear" w:color="auto" w:fill="auto"/>
          </w:tcPr>
          <w:p w:rsidR="00AD0C9D" w:rsidRPr="001D1573" w:rsidRDefault="00215AF9" w:rsidP="00215AF9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 88</w:t>
            </w:r>
            <w:r w:rsidR="00E8269D">
              <w:rPr>
                <w:rFonts w:eastAsia="Times New Roman"/>
                <w:sz w:val="26"/>
                <w:szCs w:val="26"/>
              </w:rPr>
              <w:t xml:space="preserve">  </w:t>
            </w:r>
            <w:r w:rsidR="00AD0C9D" w:rsidRPr="001D1573">
              <w:rPr>
                <w:rFonts w:eastAsia="Times New Roman"/>
                <w:sz w:val="26"/>
                <w:szCs w:val="26"/>
              </w:rPr>
              <w:t xml:space="preserve"> /CNTĐ-TT</w:t>
            </w:r>
          </w:p>
        </w:tc>
        <w:tc>
          <w:tcPr>
            <w:tcW w:w="5670" w:type="dxa"/>
            <w:shd w:val="clear" w:color="auto" w:fill="auto"/>
          </w:tcPr>
          <w:p w:rsidR="00AD0C9D" w:rsidRPr="00E85F95" w:rsidRDefault="00FA4FC6" w:rsidP="00215AF9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215AF9">
              <w:rPr>
                <w:rFonts w:eastAsia="Times New Roman"/>
                <w:i/>
                <w:sz w:val="26"/>
                <w:szCs w:val="26"/>
              </w:rPr>
              <w:t>26</w:t>
            </w:r>
            <w:r w:rsidR="00E8269D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AD0C9D" w:rsidRPr="00E85F95">
              <w:rPr>
                <w:rFonts w:eastAsia="Times New Roman"/>
                <w:i/>
                <w:sz w:val="26"/>
                <w:szCs w:val="26"/>
              </w:rPr>
              <w:t xml:space="preserve">  tháng </w:t>
            </w:r>
            <w:r w:rsidR="00471981">
              <w:rPr>
                <w:rFonts w:eastAsia="Times New Roman"/>
                <w:i/>
                <w:sz w:val="26"/>
                <w:szCs w:val="26"/>
              </w:rPr>
              <w:t>8</w:t>
            </w:r>
            <w:r w:rsidR="00AD0C9D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AD0C9D"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AD0C9D">
              <w:rPr>
                <w:rFonts w:eastAsia="Times New Roman"/>
                <w:i/>
                <w:sz w:val="26"/>
                <w:szCs w:val="26"/>
              </w:rPr>
              <w:t>6</w:t>
            </w:r>
          </w:p>
        </w:tc>
      </w:tr>
      <w:tr w:rsidR="00AD0C9D" w:rsidTr="00AD0C9D">
        <w:tc>
          <w:tcPr>
            <w:tcW w:w="4786" w:type="dxa"/>
            <w:shd w:val="clear" w:color="auto" w:fill="auto"/>
          </w:tcPr>
          <w:p w:rsidR="00AD0C9D" w:rsidRDefault="00AD0C9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</w:t>
            </w:r>
            <w:r w:rsidR="00974EA9">
              <w:rPr>
                <w:rFonts w:eastAsia="Times New Roman"/>
                <w:sz w:val="26"/>
                <w:szCs w:val="26"/>
              </w:rPr>
              <w:t>thông báo</w:t>
            </w:r>
            <w:r>
              <w:rPr>
                <w:rFonts w:eastAsia="Times New Roman"/>
                <w:sz w:val="26"/>
                <w:szCs w:val="26"/>
              </w:rPr>
              <w:t xml:space="preserve"> kết quả xác minh </w:t>
            </w:r>
          </w:p>
          <w:p w:rsidR="00AD0C9D" w:rsidRDefault="00AD0C9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chứng chỉ đáp ứng chuẩn đầu ra </w:t>
            </w:r>
          </w:p>
          <w:p w:rsidR="00AD0C9D" w:rsidRPr="00E85F95" w:rsidRDefault="00AD0C9D" w:rsidP="00BD125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đợt 2 Năm học 2015-2016 (bổ sung lần </w:t>
            </w:r>
            <w:r w:rsidR="00BD1253">
              <w:rPr>
                <w:rFonts w:eastAsia="Times New Roman"/>
                <w:sz w:val="26"/>
                <w:szCs w:val="26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AD0C9D" w:rsidRPr="00E85F95" w:rsidRDefault="00AD0C9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BE4351" w:rsidRDefault="00BE4351" w:rsidP="00BE4351"/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974EA9" w:rsidP="00754C31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</w:p>
    <w:p w:rsidR="0051306F" w:rsidRPr="002260F6" w:rsidRDefault="002260F6" w:rsidP="002260F6">
      <w:pPr>
        <w:tabs>
          <w:tab w:val="left" w:pos="1350"/>
          <w:tab w:val="left" w:pos="382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4C3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Các Khoa chuyên môn</w:t>
      </w:r>
      <w:r w:rsidR="0051306F" w:rsidRPr="002260F6">
        <w:rPr>
          <w:sz w:val="26"/>
          <w:szCs w:val="26"/>
        </w:rPr>
        <w:tab/>
      </w:r>
      <w:r w:rsidR="0051306F" w:rsidRPr="002260F6">
        <w:rPr>
          <w:sz w:val="26"/>
          <w:szCs w:val="26"/>
        </w:rPr>
        <w:tab/>
        <w:t xml:space="preserve">     </w:t>
      </w:r>
    </w:p>
    <w:p w:rsidR="00BE4351" w:rsidRPr="001D1573" w:rsidRDefault="00BE4351" w:rsidP="00BE4351">
      <w:pPr>
        <w:tabs>
          <w:tab w:val="left" w:pos="3451"/>
        </w:tabs>
        <w:rPr>
          <w:sz w:val="26"/>
          <w:szCs w:val="26"/>
        </w:rPr>
      </w:pPr>
    </w:p>
    <w:p w:rsidR="00EA549D" w:rsidRDefault="004217E6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1D1573">
        <w:rPr>
          <w:sz w:val="26"/>
          <w:szCs w:val="26"/>
        </w:rPr>
        <w:tab/>
      </w:r>
      <w:r w:rsidR="002260F6">
        <w:rPr>
          <w:sz w:val="26"/>
          <w:szCs w:val="26"/>
        </w:rPr>
        <w:tab/>
      </w:r>
      <w:r w:rsidR="00EA549D">
        <w:rPr>
          <w:sz w:val="26"/>
          <w:szCs w:val="26"/>
        </w:rPr>
        <w:t>Căn cứ Quyết định số 698/QĐ-CNTĐ-TC</w:t>
      </w:r>
      <w:r w:rsidR="00EA549D" w:rsidRPr="00C30A6B">
        <w:rPr>
          <w:sz w:val="26"/>
          <w:szCs w:val="26"/>
        </w:rPr>
        <w:t xml:space="preserve"> </w:t>
      </w:r>
      <w:r w:rsidR="00EA549D">
        <w:rPr>
          <w:sz w:val="26"/>
          <w:szCs w:val="26"/>
        </w:rPr>
        <w:t xml:space="preserve">ngày 19/11/2010 của </w:t>
      </w:r>
      <w:r w:rsidR="002260F6">
        <w:rPr>
          <w:sz w:val="26"/>
          <w:szCs w:val="26"/>
        </w:rPr>
        <w:t>T</w:t>
      </w:r>
      <w:r w:rsidR="00EA549D">
        <w:rPr>
          <w:sz w:val="26"/>
          <w:szCs w:val="26"/>
        </w:rPr>
        <w:t>rường Cao đẳng Công nghệ Thủ Đức về ban hành chuẩn đầu ra bậc cao đẳng;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cấp,</w:t>
      </w:r>
      <w:r w:rsidRPr="00C30A6B">
        <w:rPr>
          <w:sz w:val="26"/>
          <w:szCs w:val="26"/>
        </w:rPr>
        <w:t xml:space="preserve"> </w:t>
      </w:r>
      <w:r>
        <w:rPr>
          <w:sz w:val="26"/>
          <w:szCs w:val="26"/>
        </w:rPr>
        <w:t>bảo đảm</w:t>
      </w:r>
      <w:r w:rsidRPr="00190083">
        <w:rPr>
          <w:sz w:val="26"/>
          <w:szCs w:val="26"/>
        </w:rPr>
        <w:t xml:space="preserve"> việc xét và công nhận tốt nghiệp đối với sinh viên bậc cao đẳng chính quy tại trường </w:t>
      </w:r>
      <w:r w:rsidR="00754C31">
        <w:rPr>
          <w:sz w:val="26"/>
          <w:szCs w:val="26"/>
        </w:rPr>
        <w:t xml:space="preserve">đợt 2 </w:t>
      </w:r>
      <w:r w:rsidRPr="00190083">
        <w:rPr>
          <w:sz w:val="26"/>
          <w:szCs w:val="26"/>
        </w:rPr>
        <w:t xml:space="preserve">năm học 2015 </w:t>
      </w:r>
      <w:r>
        <w:rPr>
          <w:sz w:val="26"/>
          <w:szCs w:val="26"/>
        </w:rPr>
        <w:t>–</w:t>
      </w:r>
      <w:r w:rsidRPr="00190083">
        <w:rPr>
          <w:sz w:val="26"/>
          <w:szCs w:val="26"/>
        </w:rPr>
        <w:t xml:space="preserve"> 2016</w:t>
      </w:r>
      <w:r w:rsidRPr="00491342">
        <w:rPr>
          <w:sz w:val="26"/>
          <w:szCs w:val="26"/>
        </w:rPr>
        <w:t>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các khoa, </w:t>
      </w:r>
      <w:r w:rsidRPr="00190083">
        <w:rPr>
          <w:sz w:val="26"/>
          <w:szCs w:val="26"/>
        </w:rPr>
        <w:t xml:space="preserve">Phòng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BD4805">
        <w:rPr>
          <w:sz w:val="26"/>
          <w:szCs w:val="26"/>
        </w:rPr>
        <w:t>Sinh viên</w:t>
      </w:r>
      <w:r>
        <w:rPr>
          <w:sz w:val="26"/>
          <w:szCs w:val="26"/>
        </w:rPr>
        <w:t xml:space="preserve"> nộp chứng chỉ đáp ứng chuẩn đầu ra và gửi văn bản xác minh đến các cơ quan có liên quan. </w:t>
      </w:r>
    </w:p>
    <w:p w:rsidR="00E8269D" w:rsidRDefault="002260F6" w:rsidP="00E8269D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8269D">
        <w:rPr>
          <w:sz w:val="26"/>
          <w:szCs w:val="26"/>
        </w:rPr>
        <w:t xml:space="preserve">Trên cơ sở các văn bản phúc đáp của các cơ quan cấp chứng chỉ, </w:t>
      </w:r>
      <w:r w:rsidR="00E8269D" w:rsidRPr="00190083">
        <w:rPr>
          <w:sz w:val="26"/>
          <w:szCs w:val="26"/>
        </w:rPr>
        <w:t xml:space="preserve">Phòng </w:t>
      </w:r>
      <w:r w:rsidR="00E8269D">
        <w:rPr>
          <w:sz w:val="26"/>
          <w:szCs w:val="26"/>
        </w:rPr>
        <w:t>Thanh tra – Pháp chế đã tổng hợp kết quả xác minh chứng chỉ (</w:t>
      </w:r>
      <w:r w:rsidR="00E8269D" w:rsidRPr="002260F6">
        <w:rPr>
          <w:i/>
          <w:sz w:val="26"/>
          <w:szCs w:val="26"/>
        </w:rPr>
        <w:t>đính kèm</w:t>
      </w:r>
      <w:r w:rsidR="00E8269D">
        <w:rPr>
          <w:sz w:val="26"/>
          <w:szCs w:val="26"/>
        </w:rPr>
        <w:t>) đợt 2 Năm học 2015-2016 bổ sung lần 3 chuyển đến các đơn vị liên quan được biết, cụ thể như sau:</w:t>
      </w:r>
    </w:p>
    <w:p w:rsidR="00E8269D" w:rsidRDefault="00E8269D" w:rsidP="00E8269D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>- Chứng chỉ tin học: 02 hợp lệ.</w:t>
      </w:r>
    </w:p>
    <w:p w:rsidR="00E8269D" w:rsidRDefault="00E8269D" w:rsidP="00E8269D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Chứng chỉ TOEIC: 01 hợp lệ.</w:t>
      </w:r>
    </w:p>
    <w:p w:rsidR="002260F6" w:rsidRPr="001D1573" w:rsidRDefault="002260F6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17"/>
      </w:tblGrid>
      <w:tr w:rsidR="002260F6" w:rsidTr="002260F6">
        <w:tc>
          <w:tcPr>
            <w:tcW w:w="4916" w:type="dxa"/>
          </w:tcPr>
          <w:p w:rsidR="002260F6" w:rsidRDefault="007044AA" w:rsidP="00974E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4917" w:type="dxa"/>
          </w:tcPr>
          <w:p w:rsidR="00974EA9" w:rsidRDefault="00974EA9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2260F6" w:rsidRDefault="00974EA9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TP. </w:t>
            </w:r>
            <w:r w:rsidR="002260F6">
              <w:rPr>
                <w:b/>
                <w:sz w:val="26"/>
                <w:szCs w:val="26"/>
              </w:rPr>
              <w:t>THANH TRA – PHÁP CHẾ</w:t>
            </w:r>
          </w:p>
          <w:p w:rsidR="002260F6" w:rsidRDefault="002260F6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260F6" w:rsidTr="002260F6">
        <w:tc>
          <w:tcPr>
            <w:tcW w:w="4916" w:type="dxa"/>
          </w:tcPr>
          <w:p w:rsidR="002260F6" w:rsidRDefault="002260F6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17" w:type="dxa"/>
          </w:tcPr>
          <w:p w:rsidR="002260F6" w:rsidRDefault="002260F6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260F6" w:rsidRPr="00FA4FC6" w:rsidRDefault="00215AF9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(Đã ký)</w:t>
            </w:r>
            <w:bookmarkStart w:id="0" w:name="_GoBack"/>
            <w:bookmarkEnd w:id="0"/>
            <w:r w:rsidR="00E8269D">
              <w:rPr>
                <w:sz w:val="26"/>
                <w:szCs w:val="26"/>
              </w:rPr>
              <w:t xml:space="preserve"> </w:t>
            </w:r>
          </w:p>
          <w:p w:rsidR="007F04F2" w:rsidRDefault="007F04F2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260F6" w:rsidRDefault="00974EA9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EA549D" w:rsidRPr="00013AB1" w:rsidRDefault="00EA549D" w:rsidP="002260F6">
      <w:pPr>
        <w:spacing w:line="360" w:lineRule="auto"/>
        <w:jc w:val="both"/>
        <w:rPr>
          <w:b/>
          <w:sz w:val="26"/>
          <w:szCs w:val="26"/>
        </w:rPr>
      </w:pPr>
    </w:p>
    <w:p w:rsidR="00EA549D" w:rsidRPr="00DC5B6B" w:rsidRDefault="00EA549D" w:rsidP="00EA549D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 w:rsidRPr="009B66B4">
        <w:rPr>
          <w:b/>
          <w:i/>
          <w:sz w:val="22"/>
          <w:szCs w:val="26"/>
        </w:rPr>
        <w:t>Nơi nhận :</w:t>
      </w:r>
      <w:r>
        <w:tab/>
      </w:r>
      <w:r>
        <w:tab/>
      </w:r>
    </w:p>
    <w:p w:rsidR="00EA549D" w:rsidRPr="00143C1C" w:rsidRDefault="00EA549D" w:rsidP="00EA549D">
      <w:pPr>
        <w:numPr>
          <w:ilvl w:val="0"/>
          <w:numId w:val="2"/>
        </w:numPr>
        <w:tabs>
          <w:tab w:val="center" w:pos="7200"/>
        </w:tabs>
        <w:spacing w:line="276" w:lineRule="auto"/>
        <w:ind w:right="-1080"/>
        <w:jc w:val="both"/>
        <w:rPr>
          <w:sz w:val="22"/>
          <w:szCs w:val="26"/>
        </w:rPr>
      </w:pPr>
      <w:r>
        <w:rPr>
          <w:sz w:val="22"/>
          <w:szCs w:val="26"/>
        </w:rPr>
        <w:t>Như kính gửi;</w:t>
      </w:r>
      <w:r>
        <w:rPr>
          <w:sz w:val="22"/>
          <w:szCs w:val="26"/>
        </w:rPr>
        <w:tab/>
      </w:r>
    </w:p>
    <w:p w:rsidR="007044AA" w:rsidRPr="002260F6" w:rsidRDefault="00EA549D" w:rsidP="002260F6">
      <w:pPr>
        <w:numPr>
          <w:ilvl w:val="0"/>
          <w:numId w:val="2"/>
        </w:numPr>
        <w:tabs>
          <w:tab w:val="center" w:pos="720"/>
          <w:tab w:val="center" w:pos="7200"/>
        </w:tabs>
        <w:spacing w:line="276" w:lineRule="auto"/>
        <w:ind w:right="-1080"/>
        <w:jc w:val="both"/>
        <w:rPr>
          <w:sz w:val="22"/>
          <w:szCs w:val="26"/>
        </w:rPr>
      </w:pPr>
      <w:r w:rsidRPr="00143C1C">
        <w:rPr>
          <w:sz w:val="22"/>
          <w:szCs w:val="26"/>
        </w:rPr>
        <w:t>Lưu</w:t>
      </w:r>
      <w:r>
        <w:rPr>
          <w:sz w:val="22"/>
          <w:szCs w:val="26"/>
        </w:rPr>
        <w:t>: TT.</w:t>
      </w:r>
    </w:p>
    <w:sectPr w:rsidR="007044AA" w:rsidRPr="002260F6" w:rsidSect="00BD4805">
      <w:pgSz w:w="12240" w:h="15840"/>
      <w:pgMar w:top="1135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2CA4"/>
    <w:rsid w:val="00145F0C"/>
    <w:rsid w:val="001D1573"/>
    <w:rsid w:val="001E7F46"/>
    <w:rsid w:val="001F3F7F"/>
    <w:rsid w:val="00215AF9"/>
    <w:rsid w:val="002260F6"/>
    <w:rsid w:val="00264F67"/>
    <w:rsid w:val="002F4ECE"/>
    <w:rsid w:val="00326859"/>
    <w:rsid w:val="00362111"/>
    <w:rsid w:val="003706EC"/>
    <w:rsid w:val="003B2452"/>
    <w:rsid w:val="003D1A8A"/>
    <w:rsid w:val="00402A63"/>
    <w:rsid w:val="004217E6"/>
    <w:rsid w:val="00424704"/>
    <w:rsid w:val="00471981"/>
    <w:rsid w:val="004C6232"/>
    <w:rsid w:val="0051306F"/>
    <w:rsid w:val="0056301A"/>
    <w:rsid w:val="005828E5"/>
    <w:rsid w:val="00582BDE"/>
    <w:rsid w:val="006429A7"/>
    <w:rsid w:val="0066085E"/>
    <w:rsid w:val="007044AA"/>
    <w:rsid w:val="00746D77"/>
    <w:rsid w:val="00754C31"/>
    <w:rsid w:val="007F04F2"/>
    <w:rsid w:val="0081035E"/>
    <w:rsid w:val="00856593"/>
    <w:rsid w:val="008B1420"/>
    <w:rsid w:val="00974EA9"/>
    <w:rsid w:val="009C68FA"/>
    <w:rsid w:val="00A91B7E"/>
    <w:rsid w:val="00AB6F6D"/>
    <w:rsid w:val="00AD0C9D"/>
    <w:rsid w:val="00BD089C"/>
    <w:rsid w:val="00BD1253"/>
    <w:rsid w:val="00BD4805"/>
    <w:rsid w:val="00BD662F"/>
    <w:rsid w:val="00BE2329"/>
    <w:rsid w:val="00BE4351"/>
    <w:rsid w:val="00C44F92"/>
    <w:rsid w:val="00C45BF5"/>
    <w:rsid w:val="00DA39D0"/>
    <w:rsid w:val="00DE5061"/>
    <w:rsid w:val="00E01476"/>
    <w:rsid w:val="00E63970"/>
    <w:rsid w:val="00E8269D"/>
    <w:rsid w:val="00EA549D"/>
    <w:rsid w:val="00F013B1"/>
    <w:rsid w:val="00F2147C"/>
    <w:rsid w:val="00FA4FC6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FE52-07DF-4FF8-9A02-0BCBC770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7</cp:revision>
  <cp:lastPrinted>2016-08-26T01:58:00Z</cp:lastPrinted>
  <dcterms:created xsi:type="dcterms:W3CDTF">2016-08-26T01:18:00Z</dcterms:created>
  <dcterms:modified xsi:type="dcterms:W3CDTF">2016-08-26T03:21:00Z</dcterms:modified>
</cp:coreProperties>
</file>