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1" w:type="dxa"/>
        <w:tblInd w:w="-743" w:type="dxa"/>
        <w:tblLook w:val="04A0" w:firstRow="1" w:lastRow="0" w:firstColumn="1" w:lastColumn="0" w:noHBand="0" w:noVBand="1"/>
      </w:tblPr>
      <w:tblGrid>
        <w:gridCol w:w="4537"/>
        <w:gridCol w:w="6214"/>
      </w:tblGrid>
      <w:tr w:rsidR="00327071" w:rsidRPr="00882A09" w:rsidTr="00327071">
        <w:trPr>
          <w:trHeight w:val="1436"/>
        </w:trPr>
        <w:tc>
          <w:tcPr>
            <w:tcW w:w="4537" w:type="dxa"/>
          </w:tcPr>
          <w:p w:rsidR="00327071" w:rsidRPr="00851EF5" w:rsidRDefault="00327071" w:rsidP="00F75DC4">
            <w:pPr>
              <w:spacing w:before="0" w:after="0"/>
              <w:ind w:left="0" w:firstLine="18"/>
              <w:jc w:val="center"/>
            </w:pPr>
            <w:r w:rsidRPr="00851EF5">
              <w:t xml:space="preserve">UBND </w:t>
            </w:r>
            <w:r>
              <w:t xml:space="preserve">THÀNH PHỐ </w:t>
            </w:r>
            <w:r w:rsidRPr="00851EF5">
              <w:t>HỒ CHÍ MINH</w:t>
            </w:r>
          </w:p>
          <w:p w:rsidR="00327071" w:rsidRPr="00851EF5" w:rsidRDefault="00327071" w:rsidP="00F75DC4">
            <w:pPr>
              <w:spacing w:before="0" w:after="0"/>
              <w:ind w:left="0" w:firstLine="18"/>
              <w:jc w:val="center"/>
              <w:rPr>
                <w:b/>
                <w:sz w:val="26"/>
                <w:szCs w:val="26"/>
              </w:rPr>
            </w:pPr>
            <w:r w:rsidRPr="00851EF5">
              <w:rPr>
                <w:b/>
                <w:sz w:val="26"/>
                <w:szCs w:val="26"/>
              </w:rPr>
              <w:t xml:space="preserve">TRƯỜNG CAO ĐẲNG </w:t>
            </w:r>
          </w:p>
          <w:p w:rsidR="00327071" w:rsidRPr="00851EF5" w:rsidRDefault="00327071" w:rsidP="00F75DC4">
            <w:pPr>
              <w:spacing w:before="0" w:after="0"/>
              <w:ind w:left="0" w:firstLine="18"/>
              <w:jc w:val="center"/>
              <w:rPr>
                <w:b/>
                <w:sz w:val="26"/>
                <w:szCs w:val="26"/>
              </w:rPr>
            </w:pPr>
            <w:r w:rsidRPr="00851EF5">
              <w:rPr>
                <w:b/>
                <w:sz w:val="26"/>
                <w:szCs w:val="26"/>
              </w:rPr>
              <w:t>CÔNG NGHỆ THỦ ĐỨC</w:t>
            </w:r>
          </w:p>
          <w:p w:rsidR="00327071" w:rsidRDefault="00327071" w:rsidP="00F75DC4">
            <w:pPr>
              <w:spacing w:before="0" w:after="0"/>
              <w:ind w:left="0" w:firstLine="17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F3F7E" wp14:editId="39F3B37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27940</wp:posOffset>
                      </wp:positionV>
                      <wp:extent cx="871220" cy="0"/>
                      <wp:effectExtent l="6985" t="11430" r="762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.2pt" to="13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uaHQIAADU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"/>
                  </w:pict>
                </mc:Fallback>
              </mc:AlternateContent>
            </w:r>
          </w:p>
          <w:p w:rsidR="00327071" w:rsidRPr="00527BF3" w:rsidRDefault="00327071" w:rsidP="00F75DC4">
            <w:pPr>
              <w:spacing w:before="0" w:after="0"/>
              <w:ind w:left="0" w:firstLine="17"/>
              <w:jc w:val="center"/>
              <w:rPr>
                <w:sz w:val="26"/>
                <w:szCs w:val="26"/>
              </w:rPr>
            </w:pPr>
            <w:r w:rsidRPr="00527BF3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 xml:space="preserve"> 118</w:t>
            </w:r>
            <w:r w:rsidRPr="00527BF3">
              <w:rPr>
                <w:sz w:val="26"/>
                <w:szCs w:val="26"/>
              </w:rPr>
              <w:t>/TB-CNTĐ</w:t>
            </w:r>
            <w:r>
              <w:rPr>
                <w:sz w:val="26"/>
                <w:szCs w:val="26"/>
              </w:rPr>
              <w:t>-TTCL</w:t>
            </w:r>
          </w:p>
        </w:tc>
        <w:tc>
          <w:tcPr>
            <w:tcW w:w="6214" w:type="dxa"/>
          </w:tcPr>
          <w:p w:rsidR="00327071" w:rsidRPr="00851EF5" w:rsidRDefault="00327071" w:rsidP="00F75DC4">
            <w:pPr>
              <w:spacing w:before="0" w:after="0"/>
              <w:ind w:left="0" w:firstLine="0"/>
              <w:jc w:val="center"/>
              <w:rPr>
                <w:b/>
                <w:iCs/>
              </w:rPr>
            </w:pPr>
            <w:r w:rsidRPr="00851EF5">
              <w:rPr>
                <w:b/>
                <w:iCs/>
              </w:rPr>
              <w:t>CỘNG</w:t>
            </w:r>
            <w:r w:rsidRPr="00851EF5">
              <w:rPr>
                <w:b/>
              </w:rPr>
              <w:t xml:space="preserve"> HÒA XÃ HỘI CHỦ NGHĨA VIỆT NAM</w:t>
            </w:r>
            <w:r w:rsidRPr="00851EF5">
              <w:rPr>
                <w:b/>
                <w:iCs/>
              </w:rPr>
              <w:t xml:space="preserve"> </w:t>
            </w:r>
          </w:p>
          <w:p w:rsidR="00327071" w:rsidRDefault="00327071" w:rsidP="00F75DC4">
            <w:pPr>
              <w:spacing w:before="0" w:after="0"/>
              <w:ind w:left="0" w:firstLine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7DAD4" wp14:editId="5AD2DC9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209550</wp:posOffset>
                      </wp:positionV>
                      <wp:extent cx="2000250" cy="0"/>
                      <wp:effectExtent l="12065" t="13335" r="698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6.5pt" to="222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"/>
                  </w:pict>
                </mc:Fallback>
              </mc:AlternateContent>
            </w:r>
            <w:r w:rsidRPr="00882A09">
              <w:rPr>
                <w:b/>
                <w:iCs/>
                <w:sz w:val="26"/>
                <w:szCs w:val="26"/>
              </w:rPr>
              <w:t xml:space="preserve">Độc lập </w:t>
            </w:r>
            <w:r>
              <w:rPr>
                <w:b/>
                <w:iCs/>
                <w:sz w:val="26"/>
                <w:szCs w:val="26"/>
              </w:rPr>
              <w:t>-</w:t>
            </w:r>
            <w:r w:rsidRPr="00882A09">
              <w:rPr>
                <w:b/>
                <w:iCs/>
                <w:sz w:val="26"/>
                <w:szCs w:val="26"/>
              </w:rPr>
              <w:t xml:space="preserve"> Tự do </w:t>
            </w:r>
            <w:r>
              <w:rPr>
                <w:b/>
                <w:iCs/>
                <w:sz w:val="26"/>
                <w:szCs w:val="26"/>
              </w:rPr>
              <w:t>-</w:t>
            </w:r>
            <w:r w:rsidRPr="00882A09">
              <w:rPr>
                <w:b/>
                <w:iCs/>
                <w:sz w:val="26"/>
                <w:szCs w:val="26"/>
              </w:rPr>
              <w:t xml:space="preserve"> Hạnh phúc</w:t>
            </w:r>
          </w:p>
          <w:p w:rsidR="00327071" w:rsidRDefault="00327071" w:rsidP="00F75DC4">
            <w:pPr>
              <w:spacing w:before="0" w:after="0"/>
              <w:ind w:left="0" w:firstLine="0"/>
              <w:jc w:val="center"/>
              <w:rPr>
                <w:i/>
                <w:iCs/>
                <w:sz w:val="26"/>
                <w:szCs w:val="26"/>
              </w:rPr>
            </w:pPr>
          </w:p>
          <w:p w:rsidR="00327071" w:rsidRDefault="00327071" w:rsidP="00F75DC4">
            <w:pPr>
              <w:spacing w:before="0" w:after="0"/>
              <w:ind w:left="0" w:firstLine="0"/>
              <w:jc w:val="center"/>
              <w:rPr>
                <w:i/>
                <w:iCs/>
                <w:sz w:val="26"/>
                <w:szCs w:val="26"/>
              </w:rPr>
            </w:pPr>
          </w:p>
          <w:p w:rsidR="00327071" w:rsidRPr="00C30724" w:rsidRDefault="00327071" w:rsidP="00F75DC4">
            <w:pPr>
              <w:spacing w:before="0" w:after="0"/>
              <w:ind w:left="0" w:firstLine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Thành phố</w:t>
            </w:r>
            <w:r w:rsidRPr="00F00E82">
              <w:rPr>
                <w:i/>
                <w:iCs/>
                <w:sz w:val="26"/>
                <w:szCs w:val="26"/>
              </w:rPr>
              <w:t xml:space="preserve"> Hồ Chí Minh, ngày</w:t>
            </w:r>
            <w:r>
              <w:rPr>
                <w:i/>
                <w:iCs/>
                <w:sz w:val="26"/>
                <w:szCs w:val="26"/>
              </w:rPr>
              <w:t xml:space="preserve">  07</w:t>
            </w:r>
            <w:r w:rsidRPr="00F00E82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>9</w:t>
            </w:r>
            <w:r w:rsidRPr="00F00E82">
              <w:rPr>
                <w:i/>
                <w:iCs/>
                <w:sz w:val="26"/>
                <w:szCs w:val="26"/>
              </w:rPr>
              <w:t xml:space="preserve"> năm 20</w:t>
            </w:r>
            <w:r>
              <w:rPr>
                <w:i/>
                <w:iCs/>
                <w:sz w:val="26"/>
                <w:szCs w:val="26"/>
              </w:rPr>
              <w:t>23</w:t>
            </w:r>
          </w:p>
        </w:tc>
      </w:tr>
    </w:tbl>
    <w:p w:rsidR="00327071" w:rsidRDefault="00327071" w:rsidP="00327071">
      <w:pPr>
        <w:spacing w:before="0" w:after="0" w:line="276" w:lineRule="auto"/>
        <w:ind w:left="0" w:firstLine="0"/>
        <w:jc w:val="center"/>
        <w:rPr>
          <w:b/>
          <w:bCs/>
          <w:sz w:val="30"/>
          <w:szCs w:val="28"/>
        </w:rPr>
      </w:pPr>
    </w:p>
    <w:p w:rsidR="00327071" w:rsidRPr="00BE02BB" w:rsidRDefault="00327071" w:rsidP="00327071">
      <w:pPr>
        <w:spacing w:before="0" w:after="0"/>
        <w:ind w:left="0" w:firstLine="0"/>
        <w:jc w:val="center"/>
        <w:rPr>
          <w:b/>
          <w:bCs/>
          <w:sz w:val="30"/>
          <w:szCs w:val="30"/>
        </w:rPr>
      </w:pPr>
      <w:r w:rsidRPr="00BE02BB">
        <w:rPr>
          <w:b/>
          <w:bCs/>
          <w:sz w:val="30"/>
          <w:szCs w:val="30"/>
        </w:rPr>
        <w:t>THÔNG BÁO</w:t>
      </w:r>
    </w:p>
    <w:p w:rsidR="00327071" w:rsidRDefault="00327071" w:rsidP="00327071">
      <w:pPr>
        <w:spacing w:before="0" w:after="0"/>
        <w:ind w:left="0" w:firstLine="0"/>
        <w:jc w:val="center"/>
        <w:rPr>
          <w:b/>
          <w:sz w:val="28"/>
          <w:szCs w:val="28"/>
        </w:rPr>
      </w:pPr>
      <w:r w:rsidRPr="00BE02BB">
        <w:rPr>
          <w:b/>
          <w:sz w:val="28"/>
          <w:szCs w:val="28"/>
        </w:rPr>
        <w:t xml:space="preserve">Về việc </w:t>
      </w:r>
      <w:r>
        <w:rPr>
          <w:b/>
          <w:sz w:val="28"/>
          <w:szCs w:val="28"/>
        </w:rPr>
        <w:t xml:space="preserve">báo cáo sơ kết, đánh giá thi hành chính sách, pháp luật </w:t>
      </w:r>
    </w:p>
    <w:p w:rsidR="00327071" w:rsidRDefault="00327071" w:rsidP="00327071">
      <w:pPr>
        <w:spacing w:before="0" w:after="0"/>
        <w:ind w:left="0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về</w:t>
      </w:r>
      <w:proofErr w:type="gramEnd"/>
      <w:r>
        <w:rPr>
          <w:b/>
          <w:sz w:val="28"/>
          <w:szCs w:val="28"/>
        </w:rPr>
        <w:t xml:space="preserve"> giáo dục nghề nghiệp trên địa bàn Thành phố Hồ Chí Minh, </w:t>
      </w:r>
    </w:p>
    <w:p w:rsidR="00327071" w:rsidRDefault="00327071" w:rsidP="00327071">
      <w:pPr>
        <w:spacing w:before="0" w:after="0"/>
        <w:ind w:left="0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từ</w:t>
      </w:r>
      <w:proofErr w:type="gramEnd"/>
      <w:r>
        <w:rPr>
          <w:b/>
          <w:sz w:val="28"/>
          <w:szCs w:val="28"/>
        </w:rPr>
        <w:t xml:space="preserve"> ngày 31/3/2022 đến ngày 30/6/2023</w:t>
      </w:r>
    </w:p>
    <w:p w:rsidR="00327071" w:rsidRDefault="00327071" w:rsidP="00327071">
      <w:pPr>
        <w:spacing w:before="0" w:after="0"/>
        <w:ind w:left="0" w:firstLine="706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70485</wp:posOffset>
                </wp:positionV>
                <wp:extent cx="868045" cy="0"/>
                <wp:effectExtent l="13335" t="12700" r="1397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3.5pt;margin-top:5.55pt;width:6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"/>
            </w:pict>
          </mc:Fallback>
        </mc:AlternateContent>
      </w:r>
    </w:p>
    <w:p w:rsidR="00327071" w:rsidRDefault="00327071" w:rsidP="00327071">
      <w:pPr>
        <w:spacing w:before="0" w:after="0" w:line="276" w:lineRule="auto"/>
        <w:ind w:left="0" w:firstLine="706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Thực hiện</w:t>
      </w:r>
      <w:r w:rsidRPr="00E47843">
        <w:rPr>
          <w:sz w:val="26"/>
          <w:szCs w:val="26"/>
        </w:rPr>
        <w:t xml:space="preserve"> công văn số </w:t>
      </w:r>
      <w:r>
        <w:rPr>
          <w:sz w:val="26"/>
          <w:szCs w:val="26"/>
        </w:rPr>
        <w:t>20223</w:t>
      </w:r>
      <w:r w:rsidRPr="00E47843">
        <w:rPr>
          <w:sz w:val="26"/>
          <w:szCs w:val="26"/>
        </w:rPr>
        <w:t xml:space="preserve">/SLĐTBXH-GDNN ngày </w:t>
      </w:r>
      <w:r>
        <w:rPr>
          <w:sz w:val="26"/>
          <w:szCs w:val="26"/>
        </w:rPr>
        <w:t>06/9</w:t>
      </w:r>
      <w:r w:rsidRPr="00E47843">
        <w:rPr>
          <w:sz w:val="26"/>
          <w:szCs w:val="26"/>
        </w:rPr>
        <w:t>/202</w:t>
      </w:r>
      <w:r>
        <w:rPr>
          <w:sz w:val="26"/>
          <w:szCs w:val="26"/>
        </w:rPr>
        <w:t>3</w:t>
      </w:r>
      <w:r w:rsidRPr="00E47843">
        <w:rPr>
          <w:sz w:val="26"/>
          <w:szCs w:val="26"/>
        </w:rPr>
        <w:t xml:space="preserve"> của Sở Lao động - Thương binh và Xã hội về việc báo cáo sơ kết, đánh giá thi hành chính sách, pháp luật về giáo dục nghề nghiệp trên địa bàn Thành p</w:t>
      </w:r>
      <w:r>
        <w:rPr>
          <w:sz w:val="26"/>
          <w:szCs w:val="26"/>
        </w:rPr>
        <w:t xml:space="preserve">hố Hồ Chí Minh, từ ngày </w:t>
      </w:r>
      <w:r w:rsidRPr="00E47843">
        <w:rPr>
          <w:sz w:val="26"/>
          <w:szCs w:val="26"/>
        </w:rPr>
        <w:t>31/3/2022</w:t>
      </w:r>
      <w:r>
        <w:rPr>
          <w:sz w:val="26"/>
          <w:szCs w:val="26"/>
        </w:rPr>
        <w:t xml:space="preserve"> đến ngày 30/6/2023,</w:t>
      </w:r>
    </w:p>
    <w:p w:rsidR="00327071" w:rsidRDefault="00327071" w:rsidP="00327071">
      <w:pPr>
        <w:spacing w:before="0" w:after="0" w:line="276" w:lineRule="auto"/>
        <w:ind w:left="0" w:firstLine="706"/>
        <w:rPr>
          <w:sz w:val="26"/>
          <w:szCs w:val="26"/>
        </w:rPr>
      </w:pPr>
      <w:r>
        <w:rPr>
          <w:sz w:val="26"/>
          <w:szCs w:val="26"/>
        </w:rPr>
        <w:t xml:space="preserve">Hiệu trưởng yêu cầu </w:t>
      </w:r>
      <w:r w:rsidRPr="00BE02BB">
        <w:rPr>
          <w:sz w:val="26"/>
          <w:szCs w:val="26"/>
        </w:rPr>
        <w:t xml:space="preserve">phòng Thanh tra - Pháp chế </w:t>
      </w:r>
      <w:r>
        <w:rPr>
          <w:sz w:val="26"/>
          <w:szCs w:val="26"/>
        </w:rPr>
        <w:t>- Đảm bảo chất lượng phối hợp với</w:t>
      </w:r>
      <w:r w:rsidRPr="00BE02BB">
        <w:rPr>
          <w:sz w:val="26"/>
          <w:szCs w:val="26"/>
        </w:rPr>
        <w:t xml:space="preserve"> các đơn vị </w:t>
      </w:r>
      <w:r>
        <w:rPr>
          <w:sz w:val="26"/>
          <w:szCs w:val="26"/>
        </w:rPr>
        <w:t>có liên quan</w:t>
      </w:r>
      <w:r w:rsidRPr="00BE02BB">
        <w:rPr>
          <w:sz w:val="26"/>
          <w:szCs w:val="26"/>
        </w:rPr>
        <w:t xml:space="preserve"> </w:t>
      </w:r>
      <w:r>
        <w:rPr>
          <w:sz w:val="26"/>
          <w:szCs w:val="26"/>
        </w:rPr>
        <w:t>báo cáo các nội dung theo nội dung đề cương và phụ lục (đính kèm), cụ thể như</w:t>
      </w:r>
      <w:r w:rsidRPr="00BE02BB">
        <w:rPr>
          <w:sz w:val="26"/>
          <w:szCs w:val="26"/>
        </w:rPr>
        <w:t xml:space="preserve"> sau: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134"/>
        <w:gridCol w:w="1710"/>
        <w:gridCol w:w="1350"/>
      </w:tblGrid>
      <w:tr w:rsidR="00327071" w:rsidRPr="00A20AF7" w:rsidTr="00327071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STT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Nội dung báo cáo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 xml:space="preserve">Đơn vị 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thực hiện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 xml:space="preserve">Phạm vi 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báo cáo</w:t>
            </w:r>
          </w:p>
        </w:tc>
      </w:tr>
      <w:tr w:rsidR="00327071" w:rsidRPr="00A20AF7" w:rsidTr="00327071"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1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1. Công tác ban hành văn bản quy định chi tiết và hướng dẫn thi hành Luật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 xml:space="preserve">2. </w:t>
            </w:r>
            <w:r w:rsidRPr="00A20AF7">
              <w:rPr>
                <w:rFonts w:eastAsia="MS Mincho"/>
                <w:color w:val="000000"/>
                <w:sz w:val="25"/>
                <w:szCs w:val="25"/>
                <w:lang w:val="nl-NL" w:eastAsia="ja-JP"/>
              </w:rPr>
              <w:t xml:space="preserve">Cơ cấu hệ thống và quy hoạch mạng lưới cơ sở </w:t>
            </w:r>
            <w:r w:rsidRPr="00A20AF7">
              <w:rPr>
                <w:color w:val="000000"/>
                <w:sz w:val="25"/>
                <w:szCs w:val="25"/>
              </w:rPr>
              <w:t>GDNN</w:t>
            </w:r>
            <w:r w:rsidRPr="00A20AF7">
              <w:rPr>
                <w:rFonts w:eastAsia="MS Mincho"/>
                <w:color w:val="000000"/>
                <w:sz w:val="25"/>
                <w:szCs w:val="25"/>
                <w:lang w:val="nl-NL" w:eastAsia="ja-JP"/>
              </w:rPr>
              <w:t xml:space="preserve"> </w:t>
            </w:r>
            <w:r w:rsidRPr="00A20AF7">
              <w:rPr>
                <w:color w:val="000000"/>
                <w:sz w:val="25"/>
                <w:szCs w:val="25"/>
              </w:rPr>
              <w:t>(Phụ lục 02)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3. Công tác phát triển đội ngũ nhà giáo và chính sách đối với nhà giáo và cán bộ quản lý (Phụ lục 03, 04).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II -ĐỀ XUẤT, KIẾN NGHỊ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Phụ lục 1</w:t>
            </w:r>
            <w:r w:rsidRPr="00A20AF7">
              <w:rPr>
                <w:sz w:val="25"/>
                <w:szCs w:val="25"/>
              </w:rPr>
              <w:t xml:space="preserve"> - MẠNG LƯỚI CƠ SỞ GIÁO DỤC NGHỀ NGHIỆP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Phụ lục 2</w:t>
            </w:r>
            <w:r w:rsidRPr="00A20AF7">
              <w:rPr>
                <w:sz w:val="25"/>
                <w:szCs w:val="25"/>
              </w:rPr>
              <w:t xml:space="preserve"> - SỐ LƯỢNG GIÁO VIÊN, GIẢNG VIÊN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Phụ lục 3</w:t>
            </w:r>
            <w:r w:rsidRPr="00A20AF7">
              <w:rPr>
                <w:sz w:val="25"/>
                <w:szCs w:val="25"/>
              </w:rPr>
              <w:t xml:space="preserve"> - SỐ LƯỢNG CÁN BỘ QUẢN  LÝ TẠI CƠ SỞ GDNN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P.TCHC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Từ ngày 31/3/2022 đến ngày 30/6/202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327071" w:rsidRPr="00A20AF7" w:rsidTr="00327071"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2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</w:t>
            </w:r>
          </w:p>
          <w:p w:rsidR="00327071" w:rsidRPr="00A20AF7" w:rsidRDefault="00327071" w:rsidP="00F75DC4">
            <w:pPr>
              <w:spacing w:before="0" w:after="0" w:line="276" w:lineRule="auto"/>
              <w:ind w:left="41" w:hanging="1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1. Công tác ban hành văn bản quy định chi tiết và hướng dẫn thi hành Luật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41" w:hanging="1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5. Về hoạt động đào tạo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II - ĐỀ XUẤT, KIẾN NGHỊ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 xml:space="preserve">Phụ lục 5A, 5B- QUY MÔ TUYỂN SINH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P.QLĐT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</w:p>
        </w:tc>
      </w:tr>
      <w:tr w:rsidR="00327071" w:rsidRPr="00A20AF7" w:rsidTr="00327071"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3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1. Công tác ban hành văn bản quy định chi tiết và hướng dẫn thi hành Luật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10. Về chế độ, chính sách đối với người học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II -ĐỀ XUẤT, KIẾN NGHỊ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P.CTCTHSSV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</w:p>
        </w:tc>
      </w:tr>
      <w:tr w:rsidR="00327071" w:rsidRPr="00A20AF7" w:rsidTr="00327071"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1. Công tác ban hành văn bản quy định chi tiết và hướng dẫn thi hành Luật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4. Về cơ sở vật chất, trang thiết bị đào tạo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II -ĐỀ XUẤT, KIẾN NGHỊ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b/>
                <w:sz w:val="25"/>
                <w:szCs w:val="25"/>
              </w:rPr>
              <w:t>Phụ lục 4</w:t>
            </w:r>
            <w:r w:rsidRPr="00A20AF7">
              <w:rPr>
                <w:sz w:val="25"/>
                <w:szCs w:val="25"/>
              </w:rPr>
              <w:t xml:space="preserve"> - CƠ SỞ VẬT CHẤT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P.QLTB&amp;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CSVC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</w:p>
        </w:tc>
      </w:tr>
      <w:tr w:rsidR="00327071" w:rsidRPr="00A20AF7" w:rsidTr="00327071"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5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1. Công tác ban hành văn bản quy định chi tiết và hướng dẫn thi hành Luật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10. Về chế độ, chính sách đối với người học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II -ĐỀ XUẤT, KIẾN NGHỊ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P.KHTC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</w:p>
        </w:tc>
      </w:tr>
      <w:tr w:rsidR="00327071" w:rsidRPr="00A20AF7" w:rsidTr="00327071"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6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1. Công tác ban hành văn bản quy định chi tiết và hướng dẫn thi hành Luật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7. Về kiểm định và đảm bảo chất lượng giáo dục nghề nghiệp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12. Về công tác thanh tra, kiểm tra, giám sát việc thực hiện chính sách pháp luật về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II -ĐỀ XUẤT, KIẾN NGHỊ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Phụ lục 6- Tổng số cuộc được thanh tra, kiểm tra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P.TT-PC-ĐBCL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</w:p>
        </w:tc>
      </w:tr>
      <w:tr w:rsidR="00327071" w:rsidRPr="00A20AF7" w:rsidTr="00327071">
        <w:tc>
          <w:tcPr>
            <w:tcW w:w="81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7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</w:t>
            </w:r>
          </w:p>
          <w:p w:rsidR="00327071" w:rsidRPr="00A20AF7" w:rsidRDefault="00327071" w:rsidP="00F75DC4">
            <w:pPr>
              <w:spacing w:before="0" w:after="0" w:line="276" w:lineRule="auto"/>
              <w:ind w:left="41" w:hanging="1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1. Công tác ban hành văn bản quy định chi tiết và hướng dẫn thi hành Luật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41" w:hanging="1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6. Phân luồng, liên thông trong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41" w:hanging="1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8. Hoạt động liên kết đào tạo, hợp tác quốc tế trong giáo dục nghề nghiệp</w:t>
            </w:r>
          </w:p>
          <w:p w:rsidR="00327071" w:rsidRPr="00A20AF7" w:rsidRDefault="00327071" w:rsidP="00F75DC4">
            <w:pPr>
              <w:spacing w:before="0" w:after="0" w:line="276" w:lineRule="auto"/>
              <w:ind w:left="41" w:hanging="1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9. Việc phối hợp, gắn kết giữa cơ sở GDNN và doanh nghiệp, đơn vị sử dụng lao động trong đào tạo</w:t>
            </w:r>
          </w:p>
          <w:p w:rsidR="00327071" w:rsidRPr="00A20AF7" w:rsidRDefault="00327071" w:rsidP="00F75DC4">
            <w:pPr>
              <w:spacing w:before="0" w:after="0" w:line="276" w:lineRule="auto"/>
              <w:ind w:left="41" w:hanging="1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11. Xã hội hóa hoạt động GDNN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rPr>
                <w:color w:val="000000"/>
                <w:sz w:val="25"/>
                <w:szCs w:val="25"/>
              </w:rPr>
            </w:pPr>
            <w:r w:rsidRPr="00A20AF7">
              <w:rPr>
                <w:color w:val="000000"/>
                <w:sz w:val="25"/>
                <w:szCs w:val="25"/>
              </w:rPr>
              <w:t>PHẦN II -ĐỀ XUẤT, KIẾN NGHỊ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TTĐTNNL&amp;</w:t>
            </w:r>
          </w:p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sz w:val="25"/>
                <w:szCs w:val="25"/>
              </w:rPr>
            </w:pPr>
            <w:r w:rsidRPr="00A20AF7">
              <w:rPr>
                <w:sz w:val="25"/>
                <w:szCs w:val="25"/>
              </w:rPr>
              <w:t>HTDN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27071" w:rsidRPr="00A20AF7" w:rsidRDefault="00327071" w:rsidP="00F75DC4">
            <w:pPr>
              <w:spacing w:before="0" w:after="0" w:line="276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327071" w:rsidRDefault="00327071" w:rsidP="00327071">
      <w:pPr>
        <w:spacing w:before="0" w:after="0" w:line="276" w:lineRule="auto"/>
        <w:ind w:left="0" w:firstLine="706"/>
        <w:rPr>
          <w:sz w:val="26"/>
          <w:szCs w:val="26"/>
        </w:rPr>
      </w:pPr>
      <w:r>
        <w:rPr>
          <w:sz w:val="26"/>
          <w:szCs w:val="26"/>
        </w:rPr>
        <w:t xml:space="preserve">- Các đơn vị </w:t>
      </w:r>
      <w:r w:rsidRPr="00785B2A">
        <w:rPr>
          <w:sz w:val="26"/>
          <w:szCs w:val="26"/>
        </w:rPr>
        <w:t xml:space="preserve">thực hiện </w:t>
      </w:r>
      <w:r>
        <w:rPr>
          <w:sz w:val="26"/>
          <w:szCs w:val="26"/>
        </w:rPr>
        <w:t>báo cáo các nội dung</w:t>
      </w:r>
      <w:r w:rsidRPr="00785B2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đề cương, phụ lục (đính kèm) và gửi về Phòng Thanh tra - Pháp chế - Đảm bảo chất lượng (văn bản kèm file word qua hệ thống Eoffice) chậm nhất 9h ngày </w:t>
      </w:r>
      <w:r>
        <w:rPr>
          <w:b/>
          <w:sz w:val="26"/>
          <w:szCs w:val="26"/>
          <w:u w:val="single"/>
        </w:rPr>
        <w:t>11/9/2023 (thứ 2)</w:t>
      </w:r>
      <w:r>
        <w:rPr>
          <w:sz w:val="26"/>
          <w:szCs w:val="26"/>
        </w:rPr>
        <w:t>.</w:t>
      </w:r>
    </w:p>
    <w:p w:rsidR="00327071" w:rsidRDefault="00327071" w:rsidP="00327071">
      <w:pPr>
        <w:spacing w:before="0" w:after="0" w:line="276" w:lineRule="auto"/>
        <w:ind w:left="0" w:firstLine="709"/>
        <w:rPr>
          <w:sz w:val="28"/>
          <w:szCs w:val="28"/>
        </w:rPr>
      </w:pPr>
      <w:r>
        <w:rPr>
          <w:sz w:val="26"/>
          <w:szCs w:val="28"/>
        </w:rPr>
        <w:t xml:space="preserve">Đề nghị </w:t>
      </w:r>
      <w:r>
        <w:rPr>
          <w:sz w:val="28"/>
          <w:szCs w:val="28"/>
        </w:rPr>
        <w:t>các đơn vị thực hiện báo cáo đúng tiến độ yêu cầu.</w:t>
      </w:r>
    </w:p>
    <w:p w:rsidR="00327071" w:rsidRPr="00C3389F" w:rsidRDefault="00327071" w:rsidP="00327071">
      <w:pPr>
        <w:spacing w:before="0" w:after="0"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Trân trọng.</w:t>
      </w:r>
      <w:proofErr w:type="gramEnd"/>
      <w:r>
        <w:t xml:space="preserve">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718"/>
        <w:gridCol w:w="2210"/>
        <w:gridCol w:w="4536"/>
      </w:tblGrid>
      <w:tr w:rsidR="00327071" w:rsidTr="00F75DC4">
        <w:tc>
          <w:tcPr>
            <w:tcW w:w="2718" w:type="dxa"/>
            <w:shd w:val="clear" w:color="auto" w:fill="auto"/>
          </w:tcPr>
          <w:p w:rsidR="00327071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rPr>
                <w:b/>
                <w:i/>
              </w:rPr>
            </w:pPr>
          </w:p>
          <w:p w:rsidR="00327071" w:rsidRPr="00CE2FF0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rPr>
                <w:b/>
                <w:i/>
              </w:rPr>
            </w:pPr>
            <w:r w:rsidRPr="00CE2FF0">
              <w:rPr>
                <w:b/>
                <w:i/>
              </w:rPr>
              <w:t>Nơi nhận:</w:t>
            </w:r>
          </w:p>
          <w:p w:rsidR="00327071" w:rsidRPr="00CE2FF0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rPr>
                <w:sz w:val="22"/>
                <w:szCs w:val="22"/>
              </w:rPr>
            </w:pPr>
            <w:r w:rsidRPr="00CE2FF0">
              <w:rPr>
                <w:sz w:val="22"/>
                <w:szCs w:val="22"/>
              </w:rPr>
              <w:t>- Các đơn vị;</w:t>
            </w:r>
          </w:p>
          <w:p w:rsidR="00327071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</w:pPr>
            <w:r>
              <w:rPr>
                <w:sz w:val="22"/>
                <w:szCs w:val="22"/>
              </w:rPr>
              <w:t>- Lưu: TCHC</w:t>
            </w:r>
            <w:r w:rsidRPr="00CE2FF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TTCL</w:t>
            </w:r>
            <w:r w:rsidRPr="00CE2FF0"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327071" w:rsidRPr="00CE2FF0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327071" w:rsidRPr="00CE2FF0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  <w:r w:rsidRPr="00CE2FF0">
              <w:rPr>
                <w:b/>
                <w:sz w:val="26"/>
                <w:szCs w:val="26"/>
              </w:rPr>
              <w:t>. HIỆU TRƯỞNG</w:t>
            </w:r>
          </w:p>
          <w:p w:rsidR="00327071" w:rsidRPr="00CE2FF0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- PHÁP CHẾ - ĐẢM BẢO CHẤT LƯỢNG</w:t>
            </w:r>
          </w:p>
          <w:p w:rsidR="00327071" w:rsidRPr="0040588B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  <w:p w:rsidR="00327071" w:rsidRPr="0040588B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40588B">
              <w:rPr>
                <w:sz w:val="26"/>
                <w:szCs w:val="26"/>
              </w:rPr>
              <w:t>(Đã ký)</w:t>
            </w:r>
          </w:p>
          <w:p w:rsidR="00327071" w:rsidRPr="00CE2FF0" w:rsidRDefault="00327071" w:rsidP="00F75DC4">
            <w:pPr>
              <w:tabs>
                <w:tab w:val="left" w:pos="6200"/>
              </w:tabs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  <w:bookmarkStart w:id="0" w:name="_GoBack"/>
            <w:bookmarkEnd w:id="0"/>
          </w:p>
        </w:tc>
      </w:tr>
    </w:tbl>
    <w:p w:rsidR="004408F7" w:rsidRDefault="004408F7"/>
    <w:sectPr w:rsidR="004408F7" w:rsidSect="00327071">
      <w:pgSz w:w="12240" w:h="15840"/>
      <w:pgMar w:top="72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71"/>
    <w:rsid w:val="00327071"/>
    <w:rsid w:val="0044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1"/>
    <w:pPr>
      <w:spacing w:before="120" w:after="60" w:line="240" w:lineRule="auto"/>
      <w:ind w:left="907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1"/>
    <w:pPr>
      <w:spacing w:before="120" w:after="60" w:line="240" w:lineRule="auto"/>
      <w:ind w:left="907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</cp:revision>
  <dcterms:created xsi:type="dcterms:W3CDTF">2023-09-07T02:23:00Z</dcterms:created>
  <dcterms:modified xsi:type="dcterms:W3CDTF">2023-09-07T02:25:00Z</dcterms:modified>
</cp:coreProperties>
</file>